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B40A" w14:textId="77777777" w:rsidR="002B38D4" w:rsidRDefault="002B38D4" w:rsidP="005E0F4E">
      <w:pPr>
        <w:rPr>
          <w:b/>
          <w:sz w:val="36"/>
          <w:szCs w:val="28"/>
        </w:rPr>
      </w:pPr>
    </w:p>
    <w:p w14:paraId="48B80848" w14:textId="62147A19" w:rsidR="0092060C" w:rsidRDefault="6C6BB412" w:rsidP="005E0F4E">
      <w:pPr>
        <w:rPr>
          <w:szCs w:val="28"/>
        </w:rPr>
      </w:pPr>
      <w:r w:rsidRPr="6C6BB412">
        <w:rPr>
          <w:highlight w:val="yellow"/>
        </w:rPr>
        <w:t xml:space="preserve">Always include your library’s web page with information on how to access </w:t>
      </w:r>
      <w:r w:rsidR="002C6AC2">
        <w:rPr>
          <w:i/>
          <w:highlight w:val="yellow"/>
        </w:rPr>
        <w:t>Testing &amp; Education Reference Center</w:t>
      </w:r>
      <w:r w:rsidRPr="6C6BB412">
        <w:rPr>
          <w:highlight w:val="yellow"/>
        </w:rPr>
        <w:t xml:space="preserve"> or the </w:t>
      </w:r>
      <w:r w:rsidR="002C6AC2">
        <w:rPr>
          <w:i/>
          <w:highlight w:val="yellow"/>
        </w:rPr>
        <w:t>Testing &amp; Education Reference Center</w:t>
      </w:r>
      <w:r w:rsidR="002C6AC2" w:rsidRPr="6C6BB412">
        <w:rPr>
          <w:highlight w:val="yellow"/>
        </w:rPr>
        <w:t xml:space="preserve"> </w:t>
      </w:r>
      <w:r w:rsidRPr="6C6BB412">
        <w:rPr>
          <w:highlight w:val="yellow"/>
        </w:rPr>
        <w:t>access page itself. Shorten links with bit.ly, if needed.</w:t>
      </w:r>
      <w:r>
        <w:t xml:space="preserve"> </w:t>
      </w:r>
    </w:p>
    <w:p w14:paraId="710F8C21" w14:textId="77777777" w:rsidR="002B38D4" w:rsidRDefault="002B38D4" w:rsidP="005E0F4E">
      <w:pPr>
        <w:rPr>
          <w:b/>
          <w:sz w:val="36"/>
          <w:szCs w:val="28"/>
        </w:rPr>
      </w:pPr>
    </w:p>
    <w:p w14:paraId="51743CCF" w14:textId="70B2E799" w:rsidR="002B38D4" w:rsidRPr="002B38D4" w:rsidRDefault="425B0019" w:rsidP="425B0019">
      <w:pPr>
        <w:rPr>
          <w:b/>
          <w:bCs/>
          <w:sz w:val="36"/>
          <w:szCs w:val="36"/>
        </w:rPr>
      </w:pPr>
      <w:r w:rsidRPr="425B0019">
        <w:rPr>
          <w:b/>
          <w:bCs/>
          <w:sz w:val="36"/>
          <w:szCs w:val="36"/>
        </w:rPr>
        <w:t>A Look at the New SAT</w:t>
      </w:r>
      <w:r w:rsidR="002B38D4">
        <w:br/>
      </w:r>
      <w:r>
        <w:t>By Susan Monroe</w:t>
      </w:r>
      <w:r w:rsidR="002B38D4">
        <w:br/>
      </w:r>
      <w:r w:rsidR="002B38D4">
        <w:br/>
      </w:r>
      <w:r>
        <w:t>On March 5, 2016 the updated SAT launched, let's take a closer look at what the revamped test is all about. Detailed information abounds, so the goal of this post is to winnow it down to the essentials.</w:t>
      </w:r>
    </w:p>
    <w:p w14:paraId="734DB6CD" w14:textId="77777777" w:rsidR="002B38D4" w:rsidRPr="002B38D4" w:rsidRDefault="002B38D4" w:rsidP="002B38D4">
      <w:pPr>
        <w:rPr>
          <w:szCs w:val="28"/>
        </w:rPr>
      </w:pPr>
      <w:r w:rsidRPr="002B38D4">
        <w:rPr>
          <w:b/>
          <w:bCs/>
          <w:i/>
          <w:iCs/>
          <w:szCs w:val="28"/>
        </w:rPr>
        <w:t>New Features</w:t>
      </w:r>
    </w:p>
    <w:p w14:paraId="24BB2AA3" w14:textId="7F026742" w:rsidR="002B38D4" w:rsidRPr="002B38D4" w:rsidRDefault="002B38D4" w:rsidP="002B38D4">
      <w:pPr>
        <w:rPr>
          <w:szCs w:val="28"/>
        </w:rPr>
      </w:pPr>
      <w:r w:rsidRPr="002B38D4">
        <w:rPr>
          <w:szCs w:val="28"/>
        </w:rPr>
        <w:t>Perhaps bowing to the competition, the new SAT features content that is similar to the ACT. And it has also adopted two ACT features. Test takers don’t lose points for wrong answers—so there’s less</w:t>
      </w:r>
      <w:r>
        <w:rPr>
          <w:szCs w:val="28"/>
        </w:rPr>
        <w:t xml:space="preserve"> </w:t>
      </w:r>
      <w:r w:rsidRPr="002B38D4">
        <w:rPr>
          <w:szCs w:val="28"/>
        </w:rPr>
        <w:t>temptation to leave an answer blank—and they are offered only four choices of response instead of five.</w:t>
      </w:r>
    </w:p>
    <w:p w14:paraId="3B5F7280" w14:textId="77777777" w:rsidR="002B38D4" w:rsidRPr="002B38D4" w:rsidRDefault="002B38D4" w:rsidP="002B38D4">
      <w:pPr>
        <w:rPr>
          <w:szCs w:val="28"/>
        </w:rPr>
      </w:pPr>
      <w:r w:rsidRPr="002B38D4">
        <w:rPr>
          <w:szCs w:val="28"/>
        </w:rPr>
        <w:t xml:space="preserve">On the other hand, the SAT tests concepts differently. Students need to apply their information processing skills—quickly—and reason their way through the exam, rather than relying on answers that “look” right or that they may have memorized. According to College Board President and CEO David Coleman, </w:t>
      </w:r>
      <w:hyperlink r:id="rId7" w:history="1">
        <w:r w:rsidRPr="002B38D4">
          <w:rPr>
            <w:rStyle w:val="Hyperlink"/>
            <w:szCs w:val="28"/>
          </w:rPr>
          <w:t>standardized tests are not only stressful but also “far too disconnected from the work of our high schools.”</w:t>
        </w:r>
      </w:hyperlink>
      <w:r w:rsidRPr="002B38D4">
        <w:rPr>
          <w:szCs w:val="28"/>
        </w:rPr>
        <w:t xml:space="preserve"> As a result, the revised SAT focuses on real knowledge—rather than on a student’s mastery of test-taking tricks.</w:t>
      </w:r>
    </w:p>
    <w:p w14:paraId="57B876AF" w14:textId="77777777" w:rsidR="002B38D4" w:rsidRPr="002B38D4" w:rsidRDefault="002B38D4" w:rsidP="002B38D4">
      <w:pPr>
        <w:rPr>
          <w:szCs w:val="28"/>
        </w:rPr>
      </w:pPr>
      <w:r w:rsidRPr="002B38D4">
        <w:rPr>
          <w:b/>
          <w:bCs/>
          <w:i/>
          <w:iCs/>
          <w:szCs w:val="28"/>
        </w:rPr>
        <w:t>The Old and the New</w:t>
      </w:r>
    </w:p>
    <w:p w14:paraId="5AADFDC6" w14:textId="77777777" w:rsidR="002B38D4" w:rsidRDefault="002B38D4" w:rsidP="002B38D4">
      <w:pPr>
        <w:rPr>
          <w:szCs w:val="28"/>
        </w:rPr>
      </w:pPr>
      <w:r w:rsidRPr="002B38D4">
        <w:rPr>
          <w:szCs w:val="28"/>
        </w:rPr>
        <w:t xml:space="preserve">Here’s a snapshot of other major differences between the old and new SAT (with special thanks to the </w:t>
      </w:r>
      <w:hyperlink r:id="rId8" w:history="1">
        <w:r w:rsidRPr="002B38D4">
          <w:rPr>
            <w:rStyle w:val="Hyperlink"/>
            <w:szCs w:val="28"/>
          </w:rPr>
          <w:t>College Board</w:t>
        </w:r>
      </w:hyperlink>
      <w:r w:rsidRPr="002B38D4">
        <w:rPr>
          <w:szCs w:val="28"/>
        </w:rPr>
        <w:t>):</w:t>
      </w:r>
    </w:p>
    <w:p w14:paraId="1A405181" w14:textId="77777777" w:rsidR="002B38D4" w:rsidRDefault="002B38D4" w:rsidP="002B38D4">
      <w:pPr>
        <w:rPr>
          <w:szCs w:val="28"/>
        </w:rPr>
      </w:pPr>
    </w:p>
    <w:tbl>
      <w:tblPr>
        <w:tblW w:w="0" w:type="auto"/>
        <w:tblBorders>
          <w:top w:val="nil"/>
          <w:left w:val="nil"/>
          <w:right w:val="nil"/>
        </w:tblBorders>
        <w:tblLayout w:type="fixed"/>
        <w:tblLook w:val="0000" w:firstRow="0" w:lastRow="0" w:firstColumn="0" w:lastColumn="0" w:noHBand="0" w:noVBand="0"/>
      </w:tblPr>
      <w:tblGrid>
        <w:gridCol w:w="2988"/>
        <w:gridCol w:w="732"/>
        <w:gridCol w:w="2148"/>
        <w:gridCol w:w="2880"/>
      </w:tblGrid>
      <w:tr w:rsidR="002B38D4" w14:paraId="622E1CBB" w14:textId="77777777" w:rsidTr="002B38D4">
        <w:tc>
          <w:tcPr>
            <w:tcW w:w="2988" w:type="dxa"/>
            <w:tcMar>
              <w:top w:w="20" w:type="nil"/>
              <w:left w:w="20" w:type="nil"/>
              <w:bottom w:w="20" w:type="nil"/>
              <w:right w:w="20" w:type="nil"/>
            </w:tcMar>
            <w:vAlign w:val="center"/>
          </w:tcPr>
          <w:p w14:paraId="05C6A951"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Feature</w:t>
            </w:r>
          </w:p>
        </w:tc>
        <w:tc>
          <w:tcPr>
            <w:tcW w:w="2880" w:type="dxa"/>
            <w:gridSpan w:val="2"/>
            <w:tcMar>
              <w:top w:w="20" w:type="nil"/>
              <w:left w:w="20" w:type="nil"/>
              <w:bottom w:w="20" w:type="nil"/>
              <w:right w:w="20" w:type="nil"/>
            </w:tcMar>
            <w:vAlign w:val="center"/>
          </w:tcPr>
          <w:p w14:paraId="315A426C"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              “Old” SAT</w:t>
            </w:r>
          </w:p>
        </w:tc>
        <w:tc>
          <w:tcPr>
            <w:tcW w:w="2880" w:type="dxa"/>
            <w:tcMar>
              <w:top w:w="20" w:type="nil"/>
              <w:left w:w="20" w:type="nil"/>
              <w:bottom w:w="20" w:type="nil"/>
              <w:right w:w="20" w:type="nil"/>
            </w:tcMar>
            <w:vAlign w:val="center"/>
          </w:tcPr>
          <w:p w14:paraId="6EB2F356"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           “New” SAT</w:t>
            </w:r>
          </w:p>
        </w:tc>
      </w:tr>
      <w:tr w:rsidR="002B38D4" w14:paraId="555EDF3E" w14:textId="77777777" w:rsidTr="002B38D4">
        <w:tblPrEx>
          <w:tblBorders>
            <w:top w:val="none" w:sz="0" w:space="0" w:color="auto"/>
          </w:tblBorders>
        </w:tblPrEx>
        <w:tc>
          <w:tcPr>
            <w:tcW w:w="2988" w:type="dxa"/>
            <w:tcMar>
              <w:top w:w="20" w:type="nil"/>
              <w:left w:w="20" w:type="nil"/>
              <w:bottom w:w="20" w:type="nil"/>
              <w:right w:w="20" w:type="nil"/>
            </w:tcMar>
            <w:vAlign w:val="center"/>
          </w:tcPr>
          <w:p w14:paraId="1E1120C1"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Time</w:t>
            </w:r>
          </w:p>
        </w:tc>
        <w:tc>
          <w:tcPr>
            <w:tcW w:w="2880" w:type="dxa"/>
            <w:gridSpan w:val="2"/>
            <w:tcMar>
              <w:top w:w="20" w:type="nil"/>
              <w:left w:w="20" w:type="nil"/>
              <w:bottom w:w="20" w:type="nil"/>
              <w:right w:w="20" w:type="nil"/>
            </w:tcMar>
            <w:vAlign w:val="center"/>
          </w:tcPr>
          <w:p w14:paraId="12225865" w14:textId="77777777" w:rsidR="002B38D4" w:rsidRPr="002B38D4" w:rsidRDefault="002B38D4">
            <w:pPr>
              <w:widowControl w:val="0"/>
              <w:numPr>
                <w:ilvl w:val="0"/>
                <w:numId w:val="1"/>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3 hours, 45 minutes</w:t>
            </w:r>
          </w:p>
        </w:tc>
        <w:tc>
          <w:tcPr>
            <w:tcW w:w="2880" w:type="dxa"/>
            <w:tcMar>
              <w:top w:w="20" w:type="nil"/>
              <w:left w:w="20" w:type="nil"/>
              <w:bottom w:w="20" w:type="nil"/>
              <w:right w:w="20" w:type="nil"/>
            </w:tcMar>
            <w:vAlign w:val="center"/>
          </w:tcPr>
          <w:p w14:paraId="4AA5CAB8" w14:textId="77777777" w:rsidR="002B38D4" w:rsidRPr="002B38D4" w:rsidRDefault="002B38D4">
            <w:pPr>
              <w:widowControl w:val="0"/>
              <w:numPr>
                <w:ilvl w:val="0"/>
                <w:numId w:val="2"/>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3 hours (and 50 minutes for the optional essay*)</w:t>
            </w:r>
          </w:p>
        </w:tc>
      </w:tr>
      <w:tr w:rsidR="002B38D4" w14:paraId="47876AEB" w14:textId="77777777" w:rsidTr="002B38D4">
        <w:tblPrEx>
          <w:tblBorders>
            <w:top w:val="none" w:sz="0" w:space="0" w:color="auto"/>
          </w:tblBorders>
        </w:tblPrEx>
        <w:tc>
          <w:tcPr>
            <w:tcW w:w="2988" w:type="dxa"/>
            <w:tcMar>
              <w:top w:w="20" w:type="nil"/>
              <w:left w:w="20" w:type="nil"/>
              <w:bottom w:w="20" w:type="nil"/>
              <w:right w:w="20" w:type="nil"/>
            </w:tcMar>
            <w:vAlign w:val="center"/>
          </w:tcPr>
          <w:p w14:paraId="33A724AB"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Focus</w:t>
            </w:r>
          </w:p>
        </w:tc>
        <w:tc>
          <w:tcPr>
            <w:tcW w:w="2880" w:type="dxa"/>
            <w:gridSpan w:val="2"/>
            <w:tcMar>
              <w:top w:w="20" w:type="nil"/>
              <w:left w:w="20" w:type="nil"/>
              <w:bottom w:w="20" w:type="nil"/>
              <w:right w:w="20" w:type="nil"/>
            </w:tcMar>
            <w:vAlign w:val="center"/>
          </w:tcPr>
          <w:p w14:paraId="2E36711D" w14:textId="77777777" w:rsidR="002B38D4" w:rsidRPr="002B38D4" w:rsidRDefault="002B38D4">
            <w:pPr>
              <w:widowControl w:val="0"/>
              <w:numPr>
                <w:ilvl w:val="0"/>
                <w:numId w:val="3"/>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General reasoning skills</w:t>
            </w:r>
          </w:p>
          <w:p w14:paraId="799E39D4"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color w:val="262626"/>
              </w:rPr>
              <w:t> </w:t>
            </w:r>
          </w:p>
          <w:p w14:paraId="461D611E" w14:textId="77777777" w:rsidR="002B38D4" w:rsidRPr="002B38D4" w:rsidRDefault="002B38D4">
            <w:pPr>
              <w:widowControl w:val="0"/>
              <w:numPr>
                <w:ilvl w:val="0"/>
                <w:numId w:val="4"/>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Vocabulary—especially obscure “SAT” words, which do not typically appear in “real life”</w:t>
            </w:r>
          </w:p>
        </w:tc>
        <w:tc>
          <w:tcPr>
            <w:tcW w:w="2880" w:type="dxa"/>
            <w:tcMar>
              <w:top w:w="20" w:type="nil"/>
              <w:left w:w="20" w:type="nil"/>
              <w:bottom w:w="20" w:type="nil"/>
              <w:right w:w="20" w:type="nil"/>
            </w:tcMar>
            <w:vAlign w:val="center"/>
          </w:tcPr>
          <w:p w14:paraId="70239356" w14:textId="77777777" w:rsidR="002B38D4" w:rsidRPr="002B38D4" w:rsidRDefault="002B38D4">
            <w:pPr>
              <w:widowControl w:val="0"/>
              <w:numPr>
                <w:ilvl w:val="0"/>
                <w:numId w:val="5"/>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Knowledge and skills that have been proven necessary for college/career readiness and success</w:t>
            </w:r>
          </w:p>
          <w:p w14:paraId="1FD84979" w14:textId="77777777" w:rsidR="002B38D4" w:rsidRPr="002B38D4" w:rsidRDefault="002B38D4">
            <w:pPr>
              <w:widowControl w:val="0"/>
              <w:numPr>
                <w:ilvl w:val="0"/>
                <w:numId w:val="5"/>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 xml:space="preserve">Vocabulary in extended contexts and an understanding of </w:t>
            </w:r>
            <w:r w:rsidRPr="002B38D4">
              <w:rPr>
                <w:rFonts w:cs="Arial"/>
                <w:color w:val="262626"/>
              </w:rPr>
              <w:lastRenderedPageBreak/>
              <w:t>how words shape meaning and tone</w:t>
            </w:r>
          </w:p>
        </w:tc>
      </w:tr>
      <w:tr w:rsidR="002B38D4" w14:paraId="1AD0E180" w14:textId="77777777" w:rsidTr="002B38D4">
        <w:tblPrEx>
          <w:tblBorders>
            <w:top w:val="none" w:sz="0" w:space="0" w:color="auto"/>
          </w:tblBorders>
        </w:tblPrEx>
        <w:tc>
          <w:tcPr>
            <w:tcW w:w="2988" w:type="dxa"/>
            <w:tcMar>
              <w:top w:w="20" w:type="nil"/>
              <w:left w:w="20" w:type="nil"/>
              <w:bottom w:w="20" w:type="nil"/>
              <w:right w:w="20" w:type="nil"/>
            </w:tcMar>
            <w:vAlign w:val="center"/>
          </w:tcPr>
          <w:p w14:paraId="311D898C"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lastRenderedPageBreak/>
              <w:t>Essay</w:t>
            </w:r>
          </w:p>
        </w:tc>
        <w:tc>
          <w:tcPr>
            <w:tcW w:w="2880" w:type="dxa"/>
            <w:gridSpan w:val="2"/>
            <w:tcMar>
              <w:top w:w="20" w:type="nil"/>
              <w:left w:w="20" w:type="nil"/>
              <w:bottom w:w="20" w:type="nil"/>
              <w:right w:w="20" w:type="nil"/>
            </w:tcMar>
            <w:vAlign w:val="center"/>
          </w:tcPr>
          <w:p w14:paraId="553280F9" w14:textId="77777777" w:rsidR="002B38D4" w:rsidRPr="002B38D4" w:rsidRDefault="002B38D4">
            <w:pPr>
              <w:widowControl w:val="0"/>
              <w:numPr>
                <w:ilvl w:val="0"/>
                <w:numId w:val="6"/>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Tests writing skill on a topic of the student’s choice</w:t>
            </w:r>
          </w:p>
        </w:tc>
        <w:tc>
          <w:tcPr>
            <w:tcW w:w="2880" w:type="dxa"/>
            <w:tcMar>
              <w:top w:w="20" w:type="nil"/>
              <w:left w:w="20" w:type="nil"/>
              <w:bottom w:w="20" w:type="nil"/>
              <w:right w:w="20" w:type="nil"/>
            </w:tcMar>
            <w:vAlign w:val="center"/>
          </w:tcPr>
          <w:p w14:paraId="0D8AA461" w14:textId="77777777" w:rsidR="002B38D4" w:rsidRPr="002B38D4" w:rsidRDefault="002B38D4">
            <w:pPr>
              <w:widowControl w:val="0"/>
              <w:numPr>
                <w:ilvl w:val="0"/>
                <w:numId w:val="7"/>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Tests reading, writing, and analytical skills; students analyze a text provided on the test.</w:t>
            </w:r>
          </w:p>
        </w:tc>
      </w:tr>
      <w:tr w:rsidR="002B38D4" w14:paraId="76F33C51" w14:textId="77777777" w:rsidTr="002B38D4">
        <w:tc>
          <w:tcPr>
            <w:tcW w:w="2988" w:type="dxa"/>
            <w:tcMar>
              <w:top w:w="20" w:type="nil"/>
              <w:left w:w="20" w:type="nil"/>
              <w:bottom w:w="20" w:type="nil"/>
              <w:right w:w="20" w:type="nil"/>
            </w:tcMar>
            <w:vAlign w:val="center"/>
          </w:tcPr>
          <w:p w14:paraId="5A67B12F"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b/>
                <w:bCs/>
                <w:color w:val="262626"/>
              </w:rPr>
              <w:t>Scoring</w:t>
            </w:r>
          </w:p>
        </w:tc>
        <w:tc>
          <w:tcPr>
            <w:tcW w:w="2880" w:type="dxa"/>
            <w:gridSpan w:val="2"/>
            <w:tcMar>
              <w:top w:w="20" w:type="nil"/>
              <w:left w:w="20" w:type="nil"/>
              <w:bottom w:w="20" w:type="nil"/>
              <w:right w:w="20" w:type="nil"/>
            </w:tcMar>
            <w:vAlign w:val="center"/>
          </w:tcPr>
          <w:p w14:paraId="57052F11" w14:textId="77777777" w:rsidR="002B38D4" w:rsidRPr="002B38D4" w:rsidRDefault="002B38D4">
            <w:pPr>
              <w:widowControl w:val="0"/>
              <w:numPr>
                <w:ilvl w:val="0"/>
                <w:numId w:val="8"/>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Scale ranges from 600 to 2400.</w:t>
            </w:r>
          </w:p>
          <w:p w14:paraId="7CEB7497"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color w:val="262626"/>
              </w:rPr>
              <w:t> </w:t>
            </w:r>
          </w:p>
          <w:p w14:paraId="6FE4C7C1" w14:textId="77777777" w:rsidR="002B38D4" w:rsidRPr="002B38D4" w:rsidRDefault="002B38D4">
            <w:pPr>
              <w:widowControl w:val="0"/>
              <w:numPr>
                <w:ilvl w:val="0"/>
                <w:numId w:val="9"/>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 xml:space="preserve">No </w:t>
            </w:r>
            <w:proofErr w:type="spellStart"/>
            <w:r w:rsidRPr="002B38D4">
              <w:rPr>
                <w:rFonts w:cs="Arial"/>
                <w:color w:val="262626"/>
              </w:rPr>
              <w:t>subscore</w:t>
            </w:r>
            <w:proofErr w:type="spellEnd"/>
            <w:r w:rsidRPr="002B38D4">
              <w:rPr>
                <w:rFonts w:cs="Arial"/>
                <w:color w:val="262626"/>
              </w:rPr>
              <w:t xml:space="preserve"> reporting</w:t>
            </w:r>
          </w:p>
        </w:tc>
        <w:tc>
          <w:tcPr>
            <w:tcW w:w="2880" w:type="dxa"/>
            <w:tcMar>
              <w:top w:w="20" w:type="nil"/>
              <w:left w:w="20" w:type="nil"/>
              <w:bottom w:w="20" w:type="nil"/>
              <w:right w:w="20" w:type="nil"/>
            </w:tcMar>
            <w:vAlign w:val="center"/>
          </w:tcPr>
          <w:p w14:paraId="36D01D8B" w14:textId="77777777" w:rsidR="002B38D4" w:rsidRPr="002B38D4" w:rsidRDefault="002B38D4">
            <w:pPr>
              <w:widowControl w:val="0"/>
              <w:numPr>
                <w:ilvl w:val="0"/>
                <w:numId w:val="10"/>
              </w:numPr>
              <w:tabs>
                <w:tab w:val="left" w:pos="220"/>
                <w:tab w:val="left" w:pos="720"/>
              </w:tabs>
              <w:autoSpaceDE w:val="0"/>
              <w:autoSpaceDN w:val="0"/>
              <w:adjustRightInd w:val="0"/>
              <w:spacing w:after="0" w:line="240" w:lineRule="auto"/>
              <w:ind w:hanging="720"/>
              <w:rPr>
                <w:rFonts w:cs="Arial"/>
                <w:color w:val="262626"/>
              </w:rPr>
            </w:pPr>
            <w:r w:rsidRPr="002B38D4">
              <w:rPr>
                <w:rFonts w:cs="Arial"/>
                <w:color w:val="262626"/>
              </w:rPr>
              <w:t>Scale ranges from 400 to 1600</w:t>
            </w:r>
          </w:p>
          <w:p w14:paraId="690A1CA9" w14:textId="77777777" w:rsidR="002B38D4" w:rsidRPr="002B38D4" w:rsidRDefault="002B38D4">
            <w:pPr>
              <w:widowControl w:val="0"/>
              <w:autoSpaceDE w:val="0"/>
              <w:autoSpaceDN w:val="0"/>
              <w:adjustRightInd w:val="0"/>
              <w:spacing w:after="0" w:line="240" w:lineRule="auto"/>
              <w:rPr>
                <w:rFonts w:cs="Arial"/>
                <w:color w:val="262626"/>
              </w:rPr>
            </w:pPr>
            <w:r w:rsidRPr="002B38D4">
              <w:rPr>
                <w:rFonts w:cs="Arial"/>
                <w:color w:val="262626"/>
              </w:rPr>
              <w:t> </w:t>
            </w:r>
          </w:p>
          <w:p w14:paraId="43FA5DF4" w14:textId="77777777" w:rsidR="002B38D4" w:rsidRPr="002B38D4" w:rsidRDefault="002B38D4">
            <w:pPr>
              <w:widowControl w:val="0"/>
              <w:numPr>
                <w:ilvl w:val="0"/>
                <w:numId w:val="11"/>
              </w:numPr>
              <w:tabs>
                <w:tab w:val="left" w:pos="220"/>
                <w:tab w:val="left" w:pos="720"/>
              </w:tabs>
              <w:autoSpaceDE w:val="0"/>
              <w:autoSpaceDN w:val="0"/>
              <w:adjustRightInd w:val="0"/>
              <w:spacing w:after="0" w:line="240" w:lineRule="auto"/>
              <w:ind w:hanging="720"/>
              <w:rPr>
                <w:rFonts w:cs="Arial"/>
                <w:color w:val="262626"/>
              </w:rPr>
            </w:pPr>
            <w:proofErr w:type="spellStart"/>
            <w:r w:rsidRPr="002B38D4">
              <w:rPr>
                <w:rFonts w:cs="Arial"/>
                <w:color w:val="262626"/>
              </w:rPr>
              <w:t>Subscore</w:t>
            </w:r>
            <w:proofErr w:type="spellEnd"/>
            <w:r w:rsidRPr="002B38D4">
              <w:rPr>
                <w:rFonts w:cs="Arial"/>
                <w:color w:val="262626"/>
              </w:rPr>
              <w:t xml:space="preserve"> reporting for each test</w:t>
            </w:r>
          </w:p>
        </w:tc>
      </w:tr>
      <w:tr w:rsidR="002B38D4" w:rsidRPr="002B38D4" w14:paraId="7E5367D5" w14:textId="77777777" w:rsidTr="002B38D4">
        <w:trPr>
          <w:gridAfter w:val="2"/>
          <w:wAfter w:w="5028" w:type="dxa"/>
        </w:trPr>
        <w:tc>
          <w:tcPr>
            <w:tcW w:w="3720" w:type="dxa"/>
            <w:gridSpan w:val="2"/>
            <w:tcMar>
              <w:top w:w="20" w:type="nil"/>
              <w:left w:w="20" w:type="nil"/>
              <w:bottom w:w="20" w:type="nil"/>
              <w:right w:w="20" w:type="nil"/>
            </w:tcMar>
            <w:vAlign w:val="center"/>
          </w:tcPr>
          <w:p w14:paraId="23E3C0B7" w14:textId="77777777" w:rsidR="002B38D4" w:rsidRPr="002B38D4" w:rsidRDefault="002B38D4" w:rsidP="002B38D4">
            <w:pPr>
              <w:rPr>
                <w:szCs w:val="28"/>
              </w:rPr>
            </w:pPr>
            <w:r w:rsidRPr="002B38D4">
              <w:rPr>
                <w:szCs w:val="28"/>
              </w:rPr>
              <w:t> </w:t>
            </w:r>
          </w:p>
          <w:p w14:paraId="2E153307" w14:textId="29C3C2E5" w:rsidR="002B38D4" w:rsidRPr="002B38D4" w:rsidRDefault="002B38D4" w:rsidP="002B38D4">
            <w:pPr>
              <w:rPr>
                <w:szCs w:val="28"/>
              </w:rPr>
            </w:pPr>
          </w:p>
        </w:tc>
      </w:tr>
    </w:tbl>
    <w:p w14:paraId="4997D27E" w14:textId="77777777" w:rsidR="002B38D4" w:rsidRPr="002B38D4" w:rsidRDefault="002B38D4" w:rsidP="002B38D4">
      <w:r w:rsidRPr="002B38D4">
        <w:t>* Educational institutions decide whether or not they’ll require the essay for admission.</w:t>
      </w:r>
    </w:p>
    <w:p w14:paraId="6073108D" w14:textId="0D596E43" w:rsidR="002B38D4" w:rsidRPr="002B38D4" w:rsidRDefault="002B38D4" w:rsidP="002B38D4">
      <w:r w:rsidRPr="002B38D4">
        <w:t xml:space="preserve">Gale has responded to </w:t>
      </w:r>
      <w:r>
        <w:t xml:space="preserve">the new SAT with changes to the </w:t>
      </w:r>
      <w:r w:rsidRPr="002B38D4">
        <w:rPr>
          <w:i/>
          <w:iCs/>
        </w:rPr>
        <w:t>Testing &amp; Education Reference Center</w:t>
      </w:r>
      <w:r w:rsidRPr="002B38D4">
        <w:t xml:space="preserve"> </w:t>
      </w:r>
      <w:r w:rsidRPr="002C6AC2">
        <w:rPr>
          <w:i/>
        </w:rPr>
        <w:t>(</w:t>
      </w:r>
      <w:bookmarkStart w:id="0" w:name="_GoBack"/>
      <w:r w:rsidRPr="002C6AC2">
        <w:rPr>
          <w:i/>
        </w:rPr>
        <w:t>TERC</w:t>
      </w:r>
      <w:bookmarkEnd w:id="0"/>
      <w:r w:rsidRPr="002C6AC2">
        <w:rPr>
          <w:i/>
        </w:rPr>
        <w:t>)</w:t>
      </w:r>
      <w:r>
        <w:t xml:space="preserve"> available at our library</w:t>
      </w:r>
      <w:r w:rsidRPr="002B38D4">
        <w:t xml:space="preserve">. These changes are all designed to offer the most up-to-date test preparation available for the SAT. And there are </w:t>
      </w:r>
      <w:r>
        <w:t xml:space="preserve">even </w:t>
      </w:r>
      <w:r w:rsidRPr="002B38D4">
        <w:t>more benefits for</w:t>
      </w:r>
      <w:r>
        <w:t xml:space="preserve"> our</w:t>
      </w:r>
      <w:r w:rsidRPr="002B38D4">
        <w:t xml:space="preserve"> students, library patrons, and general users:</w:t>
      </w:r>
    </w:p>
    <w:p w14:paraId="394ED6D3" w14:textId="77777777" w:rsidR="002B38D4" w:rsidRPr="002B38D4" w:rsidRDefault="002B38D4" w:rsidP="002B38D4">
      <w:pPr>
        <w:numPr>
          <w:ilvl w:val="0"/>
          <w:numId w:val="1"/>
        </w:numPr>
      </w:pPr>
      <w:r w:rsidRPr="002B38D4">
        <w:rPr>
          <w:b/>
          <w:bCs/>
        </w:rPr>
        <w:t xml:space="preserve">Enhanced test preparation </w:t>
      </w:r>
      <w:r w:rsidRPr="002B38D4">
        <w:t xml:space="preserve">through full-length practice exams and diagnostic pre-tests for the AP, ACT, SAT, PSAT, Ged, </w:t>
      </w:r>
      <w:proofErr w:type="spellStart"/>
      <w:r w:rsidRPr="002B38D4">
        <w:t>HiSET</w:t>
      </w:r>
      <w:proofErr w:type="spellEnd"/>
      <w:r w:rsidRPr="002B38D4">
        <w:t>, and TASC</w:t>
      </w:r>
    </w:p>
    <w:p w14:paraId="2094422F" w14:textId="77777777" w:rsidR="002B38D4" w:rsidRPr="002B38D4" w:rsidRDefault="002B38D4" w:rsidP="002B38D4">
      <w:pPr>
        <w:numPr>
          <w:ilvl w:val="0"/>
          <w:numId w:val="1"/>
        </w:numPr>
      </w:pPr>
      <w:r w:rsidRPr="002B38D4">
        <w:rPr>
          <w:b/>
          <w:bCs/>
        </w:rPr>
        <w:t xml:space="preserve">Better college planning </w:t>
      </w:r>
      <w:r w:rsidRPr="002B38D4">
        <w:t>through an easy-to-search database of more than 4,000 accredited schools, including academics, admission requirements, campus life, tuition, and more</w:t>
      </w:r>
    </w:p>
    <w:p w14:paraId="72BBBD45" w14:textId="77777777" w:rsidR="002B38D4" w:rsidRPr="002B38D4" w:rsidRDefault="002B38D4" w:rsidP="002B38D4">
      <w:pPr>
        <w:numPr>
          <w:ilvl w:val="0"/>
          <w:numId w:val="1"/>
        </w:numPr>
      </w:pPr>
      <w:r w:rsidRPr="002B38D4">
        <w:rPr>
          <w:b/>
          <w:bCs/>
        </w:rPr>
        <w:t xml:space="preserve">Financial aid essentials </w:t>
      </w:r>
      <w:r w:rsidRPr="002B38D4">
        <w:t>through the ability to quickly search for scholarships, calculate college savings, pinpoint tuition costs, and more</w:t>
      </w:r>
    </w:p>
    <w:p w14:paraId="2758E2C0" w14:textId="77777777" w:rsidR="002B38D4" w:rsidRPr="002B38D4" w:rsidRDefault="002B38D4" w:rsidP="002B38D4">
      <w:pPr>
        <w:numPr>
          <w:ilvl w:val="0"/>
          <w:numId w:val="1"/>
        </w:numPr>
      </w:pPr>
      <w:r w:rsidRPr="002B38D4">
        <w:rPr>
          <w:b/>
          <w:bCs/>
        </w:rPr>
        <w:t xml:space="preserve">Sharper career focus </w:t>
      </w:r>
      <w:r w:rsidRPr="002B38D4">
        <w:t>through an extensive database of standardized tests, such as the Holland Codes, a Resume Builder, and a Virtual Careers Library.</w:t>
      </w:r>
    </w:p>
    <w:p w14:paraId="3B127ABC" w14:textId="1120410B" w:rsidR="00C90521" w:rsidRDefault="425B0019" w:rsidP="002B38D4">
      <w:r w:rsidRPr="425B0019">
        <w:rPr>
          <w:i/>
          <w:iCs/>
        </w:rPr>
        <w:t>TERC</w:t>
      </w:r>
      <w:r>
        <w:t xml:space="preserve"> serves as a vital resource to everyone from high school and community college students to those leaving the military and adults seeking to upgrade their careers. </w:t>
      </w:r>
      <w:r w:rsidR="002C6AC2">
        <w:t>Access</w:t>
      </w:r>
      <w:r>
        <w:t xml:space="preserve"> the product through our   library website: </w:t>
      </w:r>
      <w:r w:rsidRPr="425B0019">
        <w:rPr>
          <w:b/>
          <w:bCs/>
          <w:highlight w:val="yellow"/>
        </w:rPr>
        <w:t xml:space="preserve">&lt;INSERT LINK TO ACCESS&gt;. </w:t>
      </w:r>
      <w:r>
        <w:t xml:space="preserve">Or, contact </w:t>
      </w:r>
      <w:r w:rsidRPr="425B0019">
        <w:rPr>
          <w:b/>
          <w:bCs/>
          <w:highlight w:val="yellow"/>
        </w:rPr>
        <w:t>&lt;INSERT CONTACT INFO HERE&gt;</w:t>
      </w:r>
      <w:r w:rsidRPr="425B0019">
        <w:rPr>
          <w:b/>
          <w:bCs/>
        </w:rPr>
        <w:t xml:space="preserve"> </w:t>
      </w:r>
      <w:r>
        <w:t>for more information.</w:t>
      </w: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D8CE3" w14:textId="77777777" w:rsidR="00E752BF" w:rsidRDefault="00E752BF" w:rsidP="00412AF9">
      <w:pPr>
        <w:spacing w:after="0" w:line="240" w:lineRule="auto"/>
      </w:pPr>
      <w:r>
        <w:separator/>
      </w:r>
    </w:p>
  </w:endnote>
  <w:endnote w:type="continuationSeparator" w:id="0">
    <w:p w14:paraId="30009F2C" w14:textId="77777777" w:rsidR="00E752BF" w:rsidRDefault="00E752BF"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3A83" w14:textId="77777777" w:rsidR="00E752BF" w:rsidRDefault="00E752BF" w:rsidP="00412AF9">
      <w:pPr>
        <w:spacing w:after="0" w:line="240" w:lineRule="auto"/>
      </w:pPr>
      <w:r>
        <w:separator/>
      </w:r>
    </w:p>
  </w:footnote>
  <w:footnote w:type="continuationSeparator" w:id="0">
    <w:p w14:paraId="7328DDB5" w14:textId="77777777" w:rsidR="00E752BF" w:rsidRDefault="00E752BF"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578564DE" w:rsidR="00412AF9" w:rsidRDefault="00E823A2">
    <w:pPr>
      <w:pStyle w:val="Header"/>
    </w:pPr>
    <w:r>
      <w:rPr>
        <w:noProof/>
      </w:rPr>
      <w:drawing>
        <wp:inline distT="0" distB="0" distL="0" distR="0" wp14:anchorId="337B7F00" wp14:editId="6C39905E">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2B38D4">
      <w:rPr>
        <w:noProof/>
      </w:rPr>
      <w:drawing>
        <wp:inline distT="0" distB="0" distL="0" distR="0" wp14:anchorId="779A0F72" wp14:editId="0F4841E5">
          <wp:extent cx="1423945" cy="611505"/>
          <wp:effectExtent l="0" t="0" r="0" b="0"/>
          <wp:docPr id="1" name="Picture 1" descr="terc-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c-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90" cy="642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213A9E"/>
    <w:rsid w:val="002365E0"/>
    <w:rsid w:val="00284F46"/>
    <w:rsid w:val="002A27C5"/>
    <w:rsid w:val="002A382E"/>
    <w:rsid w:val="002B0B32"/>
    <w:rsid w:val="002B38D4"/>
    <w:rsid w:val="002C6AC2"/>
    <w:rsid w:val="002E2723"/>
    <w:rsid w:val="002E3EA7"/>
    <w:rsid w:val="003028AD"/>
    <w:rsid w:val="00317BD9"/>
    <w:rsid w:val="00354CB8"/>
    <w:rsid w:val="00355A0B"/>
    <w:rsid w:val="00364985"/>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C17563"/>
    <w:rsid w:val="00C35461"/>
    <w:rsid w:val="00C612DA"/>
    <w:rsid w:val="00C90521"/>
    <w:rsid w:val="00CE66DF"/>
    <w:rsid w:val="00CF3206"/>
    <w:rsid w:val="00CF4F8C"/>
    <w:rsid w:val="00D652D0"/>
    <w:rsid w:val="00D67377"/>
    <w:rsid w:val="00D72409"/>
    <w:rsid w:val="00D851B6"/>
    <w:rsid w:val="00DF0779"/>
    <w:rsid w:val="00E57845"/>
    <w:rsid w:val="00E752BF"/>
    <w:rsid w:val="00E823A2"/>
    <w:rsid w:val="00EE5641"/>
    <w:rsid w:val="00F01C8A"/>
    <w:rsid w:val="00F41A7C"/>
    <w:rsid w:val="00F5523E"/>
    <w:rsid w:val="00F85B67"/>
    <w:rsid w:val="00F86688"/>
    <w:rsid w:val="425B0019"/>
    <w:rsid w:val="6C6BB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t/inside-the-test/compare-current-new-specifications" TargetMode="External"/><Relationship Id="rId3" Type="http://schemas.openxmlformats.org/officeDocument/2006/relationships/settings" Target="settings.xml"/><Relationship Id="rId7" Type="http://schemas.openxmlformats.org/officeDocument/2006/relationships/hyperlink" Target="http://www.cnn.com/2014/03/05/living/sat-test-change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2016-10-31T16:51:00Z</dcterms:created>
  <dcterms:modified xsi:type="dcterms:W3CDTF">2016-10-31T16:51:00Z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