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sz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0E4">
        <w:rPr>
          <w:rFonts w:asciiTheme="minorHAnsi" w:hAnsiTheme="minorHAnsi"/>
          <w:b w:val="0"/>
          <w:sz w:val="16"/>
        </w:rPr>
        <w:t>Address</w:t>
      </w:r>
    </w:p>
    <w:p w14:paraId="7619D055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b w:val="0"/>
          <w:sz w:val="16"/>
        </w:rPr>
        <w:t>Phone Number</w:t>
      </w:r>
    </w:p>
    <w:p w14:paraId="575A412B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003470E4">
        <w:rPr>
          <w:rFonts w:asciiTheme="minorHAnsi" w:hAnsiTheme="minorHAnsi"/>
          <w:b w:val="0"/>
          <w:sz w:val="16"/>
        </w:rPr>
        <w:t>Email address</w:t>
      </w:r>
    </w:p>
    <w:p w14:paraId="3C82E4DD" w14:textId="44793CC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003470E4">
        <w:rPr>
          <w:rFonts w:asciiTheme="minorHAnsi" w:hAnsiTheme="minorHAns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00C94470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00C94470">
        <w:rPr>
          <w:rFonts w:asciiTheme="minorHAnsi" w:hAnsiTheme="minorHAns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003470E4">
        <w:rPr>
          <w:rFonts w:asciiTheme="minorHAnsi" w:hAnsiTheme="minorHAnsi"/>
          <w:sz w:val="16"/>
        </w:rPr>
        <w:t>Media Contact:</w:t>
      </w:r>
    </w:p>
    <w:p w14:paraId="49DC0129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Name</w:t>
      </w:r>
    </w:p>
    <w:p w14:paraId="1825634E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75B8A999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10532071" w14:textId="463BF3CA" w:rsidR="00F94C48" w:rsidRDefault="00167C54" w:rsidP="75B8A999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005346EE" w:rsidRPr="75B8A99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167C54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005346EE" w:rsidRPr="75B8A99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723AF9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Now Offers New Online Learning Tool That Empowers College and Career Planning</w:t>
            </w:r>
          </w:p>
          <w:p w14:paraId="2A000B41" w14:textId="24BD62D2" w:rsidR="006934C9" w:rsidRPr="003470E4" w:rsidRDefault="005346EE" w:rsidP="00AC1869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346EE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</w:p>
          <w:p w14:paraId="5C8FA1AA" w14:textId="77777777" w:rsidR="00167C54" w:rsidRDefault="005346EE" w:rsidP="00723AF9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5346EE">
              <w:rPr>
                <w:rFonts w:asciiTheme="minorHAnsi" w:hAnsiTheme="minorHAnsi" w:cs="Arial"/>
                <w:i/>
                <w:iCs/>
                <w:szCs w:val="22"/>
              </w:rPr>
              <w:t xml:space="preserve">Testing &amp; Education Reference Center </w:t>
            </w:r>
            <w:r w:rsidR="00723A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provides online test prep, college readiness and career development for students and job s</w:t>
            </w:r>
            <w:r w:rsidR="00723AF9" w:rsidRPr="00723AF9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eekers</w:t>
            </w:r>
          </w:p>
          <w:p w14:paraId="0412AFBF" w14:textId="44BB3290" w:rsidR="00723AF9" w:rsidRPr="00723AF9" w:rsidRDefault="00723AF9" w:rsidP="00723AF9">
            <w:pPr>
              <w:jc w:val="center"/>
              <w:rPr>
                <w:rFonts w:asciiTheme="minorHAnsi" w:hAnsiTheme="minorHAnsi" w:cs="Arial"/>
                <w:i/>
                <w:iCs/>
                <w:szCs w:val="22"/>
              </w:rPr>
            </w:pPr>
          </w:p>
        </w:tc>
      </w:tr>
    </w:tbl>
    <w:p w14:paraId="4EA55E64" w14:textId="25DC2CF8" w:rsidR="00B653A5" w:rsidRPr="00B653A5" w:rsidRDefault="006934C9" w:rsidP="75B8A999">
      <w:pPr>
        <w:pStyle w:val="NormalWeb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75B8A999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="003470E4" w:rsidRPr="75B8A999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75B8A999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– </w:t>
      </w:r>
      <w:r w:rsidR="00167C54" w:rsidRPr="00167C54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="00BC0640" w:rsidRPr="00167C54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NAME OF TOWN</w:t>
      </w:r>
      <w:r w:rsidR="00167C54" w:rsidRPr="00167C54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]</w:t>
      </w:r>
      <w:r w:rsidR="00BC0640" w:rsidRPr="75B8A999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residents now</w:t>
      </w:r>
      <w:r w:rsidR="009C3C69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have</w:t>
      </w:r>
      <w:r w:rsidR="00BC0640" w:rsidRPr="75B8A999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access</w:t>
      </w:r>
      <w:r w:rsidR="009C3C69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to</w:t>
      </w:r>
      <w:r w:rsidR="009C3C69" w:rsidRPr="009C3C69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 xml:space="preserve"> </w:t>
      </w:r>
      <w:hyperlink r:id="rId7" w:history="1">
        <w:r w:rsidR="009C3C69" w:rsidRPr="00B653A5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Testing &amp; Education Reference Center (TERC)</w:t>
        </w:r>
      </w:hyperlink>
      <w:r w:rsidR="009C3C69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,</w:t>
      </w:r>
      <w:r w:rsidR="009C3C69" w:rsidRPr="00B653A5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</w:rPr>
        <w:t xml:space="preserve"> a</w:t>
      </w:r>
      <w:r w:rsidR="00B653A5" w:rsidRPr="00B653A5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</w:rPr>
        <w:t xml:space="preserve"> valuable online tool</w:t>
      </w:r>
      <w:r w:rsidR="00662D78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</w:rPr>
        <w:t>, from Gale, a Cengage company,</w:t>
      </w:r>
      <w:r w:rsidR="00B653A5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</w:rPr>
        <w:t xml:space="preserve"> that </w:t>
      </w:r>
      <w:r w:rsidR="00B653A5" w:rsidRPr="00B653A5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</w:rPr>
        <w:t>learners can use for standardized test preparation, researching undergraduate and graduate programs, finding tui</w:t>
      </w:r>
      <w:r w:rsidR="00B653A5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</w:rPr>
        <w:t xml:space="preserve">tion assistance and exploring </w:t>
      </w:r>
      <w:r w:rsidR="00B653A5" w:rsidRPr="00B653A5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</w:rPr>
        <w:t>careers.</w:t>
      </w:r>
      <w:r w:rsidR="00B653A5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</w:t>
      </w:r>
      <w:r w:rsidR="00662D78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  <w:lang w:val="en"/>
        </w:rPr>
        <w:t>Library patrons</w:t>
      </w:r>
      <w:r w:rsidR="00B653A5" w:rsidRPr="00B653A5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  <w:lang w:val="en"/>
        </w:rPr>
        <w:t xml:space="preserve"> can even pursue new career paths with test prep assistance for career certification exams and gain advice on resum</w:t>
      </w:r>
      <w:r w:rsidR="00B653A5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  <w:lang w:val="en"/>
        </w:rPr>
        <w:t>es, cover letters, interviewing</w:t>
      </w:r>
      <w:r w:rsidR="00B653A5" w:rsidRPr="00B653A5">
        <w:rPr>
          <w:rFonts w:asciiTheme="minorHAnsi" w:eastAsiaTheme="minorEastAsia" w:hAnsiTheme="minorHAnsi" w:cstheme="minorBidi"/>
          <w:iCs/>
          <w:color w:val="000000" w:themeColor="text1"/>
          <w:sz w:val="20"/>
          <w:szCs w:val="20"/>
          <w:lang w:val="en"/>
        </w:rPr>
        <w:t xml:space="preserve"> and networking.</w:t>
      </w:r>
    </w:p>
    <w:p w14:paraId="4B2A43B0" w14:textId="283052C9" w:rsidR="00051DB8" w:rsidRDefault="009517E5" w:rsidP="00051DB8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 w:rsidRPr="00477604">
        <w:rPr>
          <w:rFonts w:asciiTheme="minorHAnsi" w:eastAsiaTheme="minorEastAsia" w:hAnsiTheme="minorHAnsi" w:cstheme="minorBidi"/>
          <w:sz w:val="20"/>
          <w:szCs w:val="20"/>
        </w:rPr>
        <w:t>“</w:t>
      </w:r>
      <w:r w:rsidR="75B8A999" w:rsidRPr="75B8A999">
        <w:rPr>
          <w:rFonts w:asciiTheme="minorHAnsi" w:eastAsiaTheme="minorEastAsia" w:hAnsiTheme="minorHAnsi" w:cstheme="minorBidi"/>
          <w:i/>
          <w:iCs/>
          <w:sz w:val="20"/>
          <w:szCs w:val="20"/>
        </w:rPr>
        <w:t>TER</w:t>
      </w:r>
      <w:r w:rsidR="00481B95" w:rsidRPr="00481B95">
        <w:rPr>
          <w:rFonts w:asciiTheme="minorHAnsi" w:eastAsiaTheme="minorEastAsia" w:hAnsiTheme="minorHAnsi" w:cstheme="minorBidi"/>
          <w:i/>
          <w:sz w:val="20"/>
          <w:szCs w:val="20"/>
        </w:rPr>
        <w:t>C</w:t>
      </w:r>
      <w:r w:rsidR="75B8A999" w:rsidRPr="75B8A999">
        <w:rPr>
          <w:rFonts w:asciiTheme="minorHAnsi" w:eastAsiaTheme="minorEastAsia" w:hAnsiTheme="minorHAnsi" w:cstheme="minorBidi"/>
          <w:sz w:val="20"/>
          <w:szCs w:val="20"/>
        </w:rPr>
        <w:t xml:space="preserve"> helps users embark on new education and career paths with in-depth information on higher education programs, distance learning, corporate t</w:t>
      </w:r>
      <w:r w:rsidR="00B653A5">
        <w:rPr>
          <w:rFonts w:asciiTheme="minorHAnsi" w:eastAsiaTheme="minorEastAsia" w:hAnsiTheme="minorHAnsi" w:cstheme="minorBidi"/>
          <w:sz w:val="20"/>
          <w:szCs w:val="20"/>
        </w:rPr>
        <w:t>raining, available scholarships</w:t>
      </w:r>
      <w:r w:rsidR="75B8A999" w:rsidRPr="75B8A999">
        <w:rPr>
          <w:rFonts w:asciiTheme="minorHAnsi" w:eastAsiaTheme="minorEastAsia" w:hAnsiTheme="minorHAnsi" w:cstheme="minorBidi"/>
          <w:sz w:val="20"/>
          <w:szCs w:val="20"/>
        </w:rPr>
        <w:t xml:space="preserve"> and more</w:t>
      </w:r>
      <w:r w:rsidRPr="75B8A999">
        <w:rPr>
          <w:rFonts w:asciiTheme="minorHAnsi" w:eastAsiaTheme="minorEastAsia" w:hAnsiTheme="minorHAnsi" w:cstheme="minorBidi"/>
          <w:sz w:val="20"/>
          <w:szCs w:val="20"/>
        </w:rPr>
        <w:t xml:space="preserve">,” said </w:t>
      </w:r>
      <w:r w:rsidR="00167C54" w:rsidRPr="00167C54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75B8A999">
        <w:rPr>
          <w:rFonts w:asciiTheme="minorHAnsi" w:eastAsiaTheme="minorEastAsia" w:hAnsiTheme="minorHAnsi" w:cstheme="minorBidi"/>
          <w:sz w:val="20"/>
          <w:szCs w:val="20"/>
          <w:highlight w:val="yellow"/>
        </w:rPr>
        <w:t>NAME OF LIBRARY DIRECTOR</w:t>
      </w:r>
      <w:r w:rsidR="00167C54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75B8A999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  <w:r w:rsidRPr="75B8A999">
        <w:rPr>
          <w:rFonts w:asciiTheme="minorHAnsi" w:eastAsiaTheme="minorEastAsia" w:hAnsiTheme="minorHAnsi" w:cstheme="minorBidi"/>
          <w:sz w:val="20"/>
          <w:szCs w:val="20"/>
        </w:rPr>
        <w:t xml:space="preserve"> “It is a valuable tool in supporting the education and workforce development needs of the community.”</w:t>
      </w:r>
    </w:p>
    <w:p w14:paraId="4193DFEE" w14:textId="57CDFA24" w:rsidR="00051DB8" w:rsidRPr="00051DB8" w:rsidRDefault="00051DB8" w:rsidP="00051DB8">
      <w:pPr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00051DB8">
        <w:rPr>
          <w:rFonts w:asciiTheme="minorHAnsi" w:eastAsiaTheme="minorEastAsia" w:hAnsiTheme="minorHAnsi" w:cstheme="minorBidi"/>
          <w:i/>
          <w:iCs/>
          <w:sz w:val="20"/>
          <w:szCs w:val="20"/>
          <w:lang w:val="en"/>
        </w:rPr>
        <w:t>TERC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>help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>s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guide 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>learners with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>:</w:t>
      </w:r>
    </w:p>
    <w:p w14:paraId="610296BC" w14:textId="77777777" w:rsidR="00051DB8" w:rsidRPr="00051DB8" w:rsidRDefault="00051DB8" w:rsidP="00051DB8">
      <w:pPr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> </w:t>
      </w:r>
    </w:p>
    <w:p w14:paraId="3B5DA302" w14:textId="7C334135" w:rsidR="00051DB8" w:rsidRPr="00051DB8" w:rsidRDefault="00051DB8" w:rsidP="00051DB8">
      <w:pPr>
        <w:numPr>
          <w:ilvl w:val="0"/>
          <w:numId w:val="13"/>
        </w:numPr>
        <w:spacing w:after="60"/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00051DB8">
        <w:rPr>
          <w:rFonts w:asciiTheme="minorHAnsi" w:eastAsiaTheme="minorEastAsia" w:hAnsiTheme="minorHAnsi" w:cstheme="minorBidi"/>
          <w:b/>
          <w:bCs/>
          <w:sz w:val="20"/>
          <w:szCs w:val="20"/>
          <w:lang w:val="en"/>
        </w:rPr>
        <w:t>Test prep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: 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>Full-length, timed practice exams that simulate the actual testing experience for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AP, ACT, SAT, PSAT, GED, </w:t>
      </w:r>
      <w:proofErr w:type="spellStart"/>
      <w:r>
        <w:rPr>
          <w:rFonts w:asciiTheme="minorHAnsi" w:eastAsiaTheme="minorEastAsia" w:hAnsiTheme="minorHAnsi" w:cstheme="minorBidi"/>
          <w:sz w:val="20"/>
          <w:szCs w:val="20"/>
          <w:lang w:val="en"/>
        </w:rPr>
        <w:t>HiSET</w:t>
      </w:r>
      <w:proofErr w:type="spellEnd"/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and TASC exams. Diagnostic pre-tests help students determine where they stand and how much preparation they need before taking an exam.</w:t>
      </w:r>
    </w:p>
    <w:p w14:paraId="12434F1C" w14:textId="66A32F20" w:rsidR="00051DB8" w:rsidRPr="00051DB8" w:rsidRDefault="00051DB8" w:rsidP="00051DB8">
      <w:pPr>
        <w:numPr>
          <w:ilvl w:val="0"/>
          <w:numId w:val="13"/>
        </w:numPr>
        <w:spacing w:after="60"/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00051DB8">
        <w:rPr>
          <w:rFonts w:asciiTheme="minorHAnsi" w:eastAsiaTheme="minorEastAsia" w:hAnsiTheme="minorHAnsi" w:cstheme="minorBidi"/>
          <w:b/>
          <w:bCs/>
          <w:sz w:val="20"/>
          <w:szCs w:val="20"/>
          <w:lang w:val="en"/>
        </w:rPr>
        <w:t>College planning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: 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>Intuitive searches and quick results deliver information on more than 4,000 accredited schools, including school location, tuition, academics, admi</w:t>
      </w:r>
      <w:r w:rsidR="00662D78">
        <w:rPr>
          <w:rFonts w:asciiTheme="minorHAnsi" w:eastAsiaTheme="minorEastAsia" w:hAnsiTheme="minorHAnsi" w:cstheme="minorBidi"/>
          <w:sz w:val="20"/>
          <w:szCs w:val="20"/>
          <w:lang w:val="en"/>
        </w:rPr>
        <w:t>ssion requirements, campus life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and much more.</w:t>
      </w:r>
    </w:p>
    <w:p w14:paraId="3B3E8E4F" w14:textId="3367B5E8" w:rsidR="00051DB8" w:rsidRPr="00051DB8" w:rsidRDefault="00051DB8" w:rsidP="00051DB8">
      <w:pPr>
        <w:numPr>
          <w:ilvl w:val="0"/>
          <w:numId w:val="13"/>
        </w:numPr>
        <w:spacing w:after="60"/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00051DB8">
        <w:rPr>
          <w:rFonts w:asciiTheme="minorHAnsi" w:eastAsiaTheme="minorEastAsia" w:hAnsiTheme="minorHAnsi" w:cstheme="minorBidi"/>
          <w:b/>
          <w:bCs/>
          <w:sz w:val="20"/>
          <w:szCs w:val="20"/>
          <w:lang w:val="en"/>
        </w:rPr>
        <w:t>Financial aid tools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: 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Benefit from an undergraduate scholarship search, financial aid award analyzer, college savings </w:t>
      </w:r>
      <w:r w:rsidR="00662D78">
        <w:rPr>
          <w:rFonts w:asciiTheme="minorHAnsi" w:eastAsiaTheme="minorEastAsia" w:hAnsiTheme="minorHAnsi" w:cstheme="minorBidi"/>
          <w:sz w:val="20"/>
          <w:szCs w:val="20"/>
          <w:lang w:val="en"/>
        </w:rPr>
        <w:t>calculator, tuition cost finder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and more.</w:t>
      </w:r>
    </w:p>
    <w:p w14:paraId="69E63BD2" w14:textId="04811E35" w:rsidR="00051DB8" w:rsidRPr="00051DB8" w:rsidRDefault="00051DB8" w:rsidP="00051DB8">
      <w:pPr>
        <w:numPr>
          <w:ilvl w:val="0"/>
          <w:numId w:val="13"/>
        </w:numPr>
        <w:spacing w:after="60"/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00051DB8">
        <w:rPr>
          <w:rFonts w:asciiTheme="minorHAnsi" w:eastAsiaTheme="minorEastAsia" w:hAnsiTheme="minorHAnsi" w:cstheme="minorBidi"/>
          <w:b/>
          <w:bCs/>
          <w:sz w:val="20"/>
          <w:szCs w:val="20"/>
          <w:lang w:val="en"/>
        </w:rPr>
        <w:t>Career development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: 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The Resume Builder and Virtual Careers Library tools assist students in building essential career skills—like how </w:t>
      </w:r>
      <w:r w:rsidR="00662D78">
        <w:rPr>
          <w:rFonts w:asciiTheme="minorHAnsi" w:eastAsiaTheme="minorEastAsia" w:hAnsiTheme="minorHAnsi" w:cstheme="minorBidi"/>
          <w:sz w:val="20"/>
          <w:szCs w:val="20"/>
          <w:lang w:val="en"/>
        </w:rPr>
        <w:t>to build a resume, cover letter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and interviewing tips for users at all career stages. Using the Career Module, tests help users map interests and aptitudes to the most suitable job categories, industries, and occupations.</w:t>
      </w:r>
    </w:p>
    <w:p w14:paraId="4091E04C" w14:textId="19189668" w:rsidR="00051DB8" w:rsidRPr="00051DB8" w:rsidRDefault="00051DB8" w:rsidP="00051DB8">
      <w:pPr>
        <w:numPr>
          <w:ilvl w:val="0"/>
          <w:numId w:val="13"/>
        </w:numPr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00051DB8">
        <w:rPr>
          <w:rFonts w:asciiTheme="minorHAnsi" w:eastAsiaTheme="minorEastAsia" w:hAnsiTheme="minorHAnsi" w:cstheme="minorBidi"/>
          <w:b/>
          <w:bCs/>
          <w:sz w:val="20"/>
          <w:szCs w:val="20"/>
          <w:lang w:val="en"/>
        </w:rPr>
        <w:t>International tools</w:t>
      </w:r>
      <w:r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: 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>Help</w:t>
      </w:r>
      <w:r w:rsidR="00274B90">
        <w:rPr>
          <w:rFonts w:asciiTheme="minorHAnsi" w:eastAsiaTheme="minorEastAsia" w:hAnsiTheme="minorHAnsi" w:cstheme="minorBidi"/>
          <w:sz w:val="20"/>
          <w:szCs w:val="20"/>
          <w:lang w:val="en"/>
        </w:rPr>
        <w:t>s</w:t>
      </w:r>
      <w:bookmarkStart w:id="0" w:name="_GoBack"/>
      <w:bookmarkEnd w:id="0"/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individuals prepare to pass the </w:t>
      </w:r>
      <w:r w:rsidR="00662D78">
        <w:rPr>
          <w:rFonts w:asciiTheme="minorHAnsi" w:eastAsiaTheme="minorEastAsia" w:hAnsiTheme="minorHAnsi" w:cstheme="minorBidi"/>
          <w:sz w:val="20"/>
          <w:szCs w:val="20"/>
          <w:lang w:val="en"/>
        </w:rPr>
        <w:t>TOEFL (</w:t>
      </w:r>
      <w:proofErr w:type="spellStart"/>
      <w:r w:rsidR="00662D78">
        <w:rPr>
          <w:rFonts w:asciiTheme="minorHAnsi" w:eastAsiaTheme="minorEastAsia" w:hAnsiTheme="minorHAnsi" w:cstheme="minorBidi"/>
          <w:sz w:val="20"/>
          <w:szCs w:val="20"/>
          <w:lang w:val="en"/>
        </w:rPr>
        <w:t>iBT</w:t>
      </w:r>
      <w:proofErr w:type="spellEnd"/>
      <w:r w:rsidR="00662D78">
        <w:rPr>
          <w:rFonts w:asciiTheme="minorHAnsi" w:eastAsiaTheme="minorEastAsia" w:hAnsiTheme="minorHAnsi" w:cstheme="minorBidi"/>
          <w:sz w:val="20"/>
          <w:szCs w:val="20"/>
          <w:lang w:val="en"/>
        </w:rPr>
        <w:t>), TOEFL (PBT), TOEIC</w:t>
      </w:r>
      <w:r w:rsidRPr="00051DB8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 and U.S. Citizenship tests with online practice tests and eBooks.</w:t>
      </w:r>
    </w:p>
    <w:p w14:paraId="7F3E1732" w14:textId="77777777" w:rsidR="00051DB8" w:rsidRPr="004A4EE0" w:rsidRDefault="00051DB8" w:rsidP="75B8A999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57E7CB72" w14:textId="4A6E4C63" w:rsidR="006934C9" w:rsidRPr="003470E4" w:rsidDel="00755D69" w:rsidRDefault="00167C54" w:rsidP="75B8A999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  <w:highlight w:val="yellow"/>
        </w:rPr>
        <w:lastRenderedPageBreak/>
        <w:t>[</w:t>
      </w:r>
      <w:r w:rsidR="006934C9" w:rsidRPr="75B8A999">
        <w:rPr>
          <w:rFonts w:asciiTheme="minorHAnsi" w:eastAsiaTheme="minorEastAsia" w:hAnsiTheme="minorHAnsi" w:cstheme="minorBidi"/>
          <w:sz w:val="20"/>
          <w:szCs w:val="20"/>
          <w:highlight w:val="yellow"/>
        </w:rPr>
        <w:t>NAME OF TOWN</w:t>
      </w:r>
      <w:r w:rsidRPr="00167C54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="006934C9" w:rsidRPr="75B8A999">
        <w:rPr>
          <w:rFonts w:asciiTheme="minorHAnsi" w:eastAsiaTheme="minorEastAsia" w:hAnsiTheme="minorHAnsi" w:cstheme="minorBidi"/>
          <w:sz w:val="20"/>
          <w:szCs w:val="20"/>
        </w:rPr>
        <w:t xml:space="preserve"> residents can access</w:t>
      </w:r>
      <w:r w:rsidR="00CF670A" w:rsidRPr="75B8A99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A387B" w:rsidRPr="75B8A999">
        <w:rPr>
          <w:rFonts w:asciiTheme="minorHAnsi" w:eastAsiaTheme="minorEastAsia" w:hAnsiTheme="minorHAnsi" w:cstheme="minorBidi"/>
          <w:i/>
          <w:iCs/>
          <w:sz w:val="20"/>
          <w:szCs w:val="20"/>
        </w:rPr>
        <w:t>Testing &amp; Education Reference Center (TERC)</w:t>
      </w:r>
      <w:r w:rsidR="00850DC1" w:rsidRPr="75B8A999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</w:t>
      </w:r>
      <w:r w:rsidR="006252B4" w:rsidRPr="75B8A999">
        <w:rPr>
          <w:rFonts w:asciiTheme="minorHAnsi" w:eastAsiaTheme="minorEastAsia" w:hAnsiTheme="minorHAnsi" w:cstheme="minorBidi"/>
          <w:sz w:val="20"/>
          <w:szCs w:val="20"/>
        </w:rPr>
        <w:t xml:space="preserve">24/7, on any device by </w:t>
      </w:r>
      <w:r w:rsidR="006934C9" w:rsidRPr="75B8A999">
        <w:rPr>
          <w:rFonts w:asciiTheme="minorHAnsi" w:eastAsiaTheme="minorEastAsia" w:hAnsiTheme="minorHAnsi" w:cstheme="minorBidi"/>
          <w:sz w:val="20"/>
          <w:szCs w:val="20"/>
        </w:rPr>
        <w:t xml:space="preserve">visiting the library’s website </w:t>
      </w:r>
      <w:r w:rsidR="006934C9" w:rsidRPr="75B8A999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 xml:space="preserve">[INSERT LINK]. </w:t>
      </w:r>
    </w:p>
    <w:p w14:paraId="1AB31DAB" w14:textId="5A76E86F" w:rsidR="75B8A999" w:rsidRDefault="75B8A999" w:rsidP="75B8A999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C4437A8" w14:textId="26176AE9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  <w:r w:rsidRPr="003470E4">
        <w:rPr>
          <w:rFonts w:asciiTheme="minorHAnsi" w:hAnsiTheme="minorHAnsi" w:cs="Arial"/>
          <w:sz w:val="20"/>
          <w:szCs w:val="20"/>
        </w:rPr>
        <w:t xml:space="preserve">For questions or more information, please contact </w:t>
      </w:r>
      <w:r w:rsidR="00167C54" w:rsidRPr="00167C54">
        <w:rPr>
          <w:rFonts w:asciiTheme="minorHAnsi" w:hAnsiTheme="minorHAnsi" w:cs="Arial"/>
          <w:sz w:val="20"/>
          <w:szCs w:val="20"/>
          <w:highlight w:val="yellow"/>
        </w:rPr>
        <w:t>[</w:t>
      </w:r>
      <w:r w:rsidRPr="00BF24B5">
        <w:rPr>
          <w:rFonts w:asciiTheme="minorHAnsi" w:hAnsiTheme="minorHAnsi" w:cs="Arial"/>
          <w:sz w:val="20"/>
          <w:szCs w:val="20"/>
          <w:highlight w:val="yellow"/>
        </w:rPr>
        <w:t>LIST YOUR LIBRARY CONTACT</w:t>
      </w:r>
      <w:r w:rsidR="00167C54">
        <w:rPr>
          <w:rFonts w:asciiTheme="minorHAnsi" w:hAnsiTheme="minorHAnsi" w:cs="Arial"/>
          <w:sz w:val="20"/>
          <w:szCs w:val="20"/>
        </w:rPr>
        <w:t>]</w:t>
      </w:r>
      <w:r w:rsidRPr="003470E4">
        <w:rPr>
          <w:rFonts w:asciiTheme="minorHAnsi" w:hAnsiTheme="minorHAnsi" w:cs="Arial"/>
          <w:sz w:val="20"/>
          <w:szCs w:val="20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57D75001" w:rsidR="006934C9" w:rsidRPr="00BF24B5" w:rsidRDefault="006934C9" w:rsidP="006934C9">
      <w:pPr>
        <w:rPr>
          <w:rStyle w:val="Strong"/>
          <w:rFonts w:asciiTheme="minorHAnsi" w:hAnsiTheme="minorHAnsi" w:cs="Arial"/>
          <w:sz w:val="20"/>
          <w:szCs w:val="20"/>
          <w:highlight w:val="yellow"/>
        </w:rPr>
      </w:pPr>
      <w:r w:rsidRPr="00BF24B5">
        <w:rPr>
          <w:rStyle w:val="Strong"/>
          <w:rFonts w:asciiTheme="minorHAnsi" w:hAnsiTheme="minorHAnsi" w:cs="Arial"/>
          <w:sz w:val="20"/>
          <w:szCs w:val="20"/>
          <w:highlight w:val="yellow"/>
        </w:rPr>
        <w:t xml:space="preserve">About </w:t>
      </w:r>
      <w:r w:rsidR="00167C54">
        <w:rPr>
          <w:rStyle w:val="Strong"/>
          <w:rFonts w:asciiTheme="minorHAnsi" w:hAnsiTheme="minorHAnsi" w:cs="Arial"/>
          <w:sz w:val="20"/>
          <w:szCs w:val="20"/>
          <w:highlight w:val="yellow"/>
        </w:rPr>
        <w:t>[</w:t>
      </w:r>
      <w:r w:rsidRPr="00BF24B5">
        <w:rPr>
          <w:rStyle w:val="Strong"/>
          <w:rFonts w:asciiTheme="minorHAnsi" w:hAnsiTheme="minorHAnsi" w:cs="Arial"/>
          <w:sz w:val="20"/>
          <w:szCs w:val="20"/>
          <w:highlight w:val="yellow"/>
        </w:rPr>
        <w:t>NAME OF LIBRARY</w:t>
      </w:r>
      <w:r w:rsidR="00167C54">
        <w:rPr>
          <w:rStyle w:val="Strong"/>
          <w:rFonts w:asciiTheme="minorHAnsi" w:hAnsiTheme="minorHAnsi" w:cs="Arial"/>
          <w:sz w:val="20"/>
          <w:szCs w:val="20"/>
          <w:highlight w:val="yellow"/>
        </w:rPr>
        <w:t>]</w:t>
      </w:r>
    </w:p>
    <w:p w14:paraId="2817BB29" w14:textId="77777777" w:rsidR="006934C9" w:rsidRPr="00BF24B5" w:rsidRDefault="006934C9" w:rsidP="006934C9">
      <w:pPr>
        <w:rPr>
          <w:rStyle w:val="Strong"/>
          <w:rFonts w:asciiTheme="minorHAnsi" w:hAnsiTheme="minorHAnsi" w:cs="Arial"/>
          <w:sz w:val="20"/>
          <w:szCs w:val="20"/>
          <w:highlight w:val="yellow"/>
        </w:rPr>
      </w:pPr>
    </w:p>
    <w:p w14:paraId="3173EC29" w14:textId="77777777" w:rsidR="006934C9" w:rsidRPr="00BF24B5" w:rsidRDefault="006934C9" w:rsidP="006934C9">
      <w:pPr>
        <w:rPr>
          <w:rFonts w:asciiTheme="minorHAnsi" w:hAnsiTheme="minorHAnsi" w:cs="Arial"/>
          <w:sz w:val="20"/>
          <w:szCs w:val="20"/>
        </w:rPr>
      </w:pPr>
      <w:r w:rsidRPr="00BF24B5">
        <w:rPr>
          <w:rStyle w:val="Strong"/>
          <w:rFonts w:asciiTheme="minorHAnsi" w:hAnsiTheme="minorHAnsi" w:cs="Arial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F05AF09" w14:textId="05EA5FE3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EAAFB" w14:textId="77777777" w:rsidR="0074645F" w:rsidRDefault="0074645F" w:rsidP="00C77D57">
      <w:r>
        <w:separator/>
      </w:r>
    </w:p>
  </w:endnote>
  <w:endnote w:type="continuationSeparator" w:id="0">
    <w:p w14:paraId="5B62B978" w14:textId="77777777" w:rsidR="0074645F" w:rsidRDefault="0074645F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56868" w14:textId="77777777" w:rsidR="0074645F" w:rsidRDefault="0074645F" w:rsidP="00C77D57">
      <w:r>
        <w:separator/>
      </w:r>
    </w:p>
  </w:footnote>
  <w:footnote w:type="continuationSeparator" w:id="0">
    <w:p w14:paraId="64442101" w14:textId="77777777" w:rsidR="0074645F" w:rsidRDefault="0074645F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4CAD7542" w:rsidR="00C77D57" w:rsidRDefault="00477604" w:rsidP="00C94470">
    <w:pPr>
      <w:pStyle w:val="Header"/>
      <w:jc w:val="both"/>
    </w:pPr>
    <w:r>
      <w:rPr>
        <w:noProof/>
      </w:rPr>
      <w:drawing>
        <wp:inline distT="0" distB="0" distL="0" distR="0" wp14:anchorId="357835AD" wp14:editId="5ABF0B75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    </w:t>
    </w:r>
    <w:r w:rsidR="00CF670A">
      <w:t xml:space="preserve">    </w:t>
    </w:r>
    <w:r w:rsidR="00B45DFB">
      <w:t xml:space="preserve">                      </w:t>
    </w:r>
    <w:r w:rsidR="00CF670A">
      <w:t xml:space="preserve">         </w:t>
    </w:r>
    <w:r w:rsidR="00B45DFB">
      <w:t xml:space="preserve">        </w:t>
    </w:r>
    <w:r w:rsidR="00B45DFB">
      <w:rPr>
        <w:noProof/>
      </w:rPr>
      <w:drawing>
        <wp:inline distT="0" distB="0" distL="0" distR="0" wp14:anchorId="3A6C902F" wp14:editId="0AA1270B">
          <wp:extent cx="1238341" cy="531798"/>
          <wp:effectExtent l="0" t="0" r="6350" b="1905"/>
          <wp:docPr id="11" name="Picture 11" descr="../../../../Downloads/ter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../Downloads/ter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468" cy="53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5DFB">
      <w:t xml:space="preserve">  </w:t>
    </w:r>
    <w:r w:rsidR="00CF670A">
      <w:t xml:space="preserve">   </w:t>
    </w:r>
    <w:r w:rsidR="00351877">
      <w:t xml:space="preserve">          </w:t>
    </w:r>
    <w:r w:rsidR="00C94470">
      <w:tab/>
    </w:r>
    <w:r w:rsidR="00351877">
      <w:t xml:space="preserve"> </w:t>
    </w:r>
    <w:r w:rsidR="001B05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45476F8C"/>
    <w:multiLevelType w:val="multilevel"/>
    <w:tmpl w:val="487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D1BC1"/>
    <w:multiLevelType w:val="multilevel"/>
    <w:tmpl w:val="C64A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36877"/>
    <w:rsid w:val="000437EA"/>
    <w:rsid w:val="00047922"/>
    <w:rsid w:val="00051B71"/>
    <w:rsid w:val="00051DB8"/>
    <w:rsid w:val="00053A6A"/>
    <w:rsid w:val="000558DC"/>
    <w:rsid w:val="000560D8"/>
    <w:rsid w:val="00071808"/>
    <w:rsid w:val="00074974"/>
    <w:rsid w:val="000915A9"/>
    <w:rsid w:val="000D6DCF"/>
    <w:rsid w:val="00111D8F"/>
    <w:rsid w:val="00112B9C"/>
    <w:rsid w:val="00127B5C"/>
    <w:rsid w:val="001313A9"/>
    <w:rsid w:val="00135B12"/>
    <w:rsid w:val="001549F8"/>
    <w:rsid w:val="00167C54"/>
    <w:rsid w:val="001769A2"/>
    <w:rsid w:val="001847F8"/>
    <w:rsid w:val="001850C1"/>
    <w:rsid w:val="00190B7B"/>
    <w:rsid w:val="00193032"/>
    <w:rsid w:val="001962F8"/>
    <w:rsid w:val="001A34A7"/>
    <w:rsid w:val="001A387B"/>
    <w:rsid w:val="001B05AF"/>
    <w:rsid w:val="001B255C"/>
    <w:rsid w:val="001B2F37"/>
    <w:rsid w:val="001B5170"/>
    <w:rsid w:val="001E28CA"/>
    <w:rsid w:val="001F37A9"/>
    <w:rsid w:val="00204EE4"/>
    <w:rsid w:val="00221A7C"/>
    <w:rsid w:val="002375C6"/>
    <w:rsid w:val="0023772A"/>
    <w:rsid w:val="00237DB7"/>
    <w:rsid w:val="00274B90"/>
    <w:rsid w:val="00280367"/>
    <w:rsid w:val="00285F5D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C65B4"/>
    <w:rsid w:val="003E629C"/>
    <w:rsid w:val="00404330"/>
    <w:rsid w:val="00426FB5"/>
    <w:rsid w:val="00453E35"/>
    <w:rsid w:val="00456DA6"/>
    <w:rsid w:val="00464B17"/>
    <w:rsid w:val="00466D65"/>
    <w:rsid w:val="00477604"/>
    <w:rsid w:val="00481B95"/>
    <w:rsid w:val="0049394D"/>
    <w:rsid w:val="00494DD5"/>
    <w:rsid w:val="004A4EE0"/>
    <w:rsid w:val="004B004B"/>
    <w:rsid w:val="004C594D"/>
    <w:rsid w:val="004D4B37"/>
    <w:rsid w:val="004D6B51"/>
    <w:rsid w:val="004E38E7"/>
    <w:rsid w:val="004E55CD"/>
    <w:rsid w:val="004F5CAC"/>
    <w:rsid w:val="0050099B"/>
    <w:rsid w:val="00503254"/>
    <w:rsid w:val="0052618D"/>
    <w:rsid w:val="00526CF3"/>
    <w:rsid w:val="005346EE"/>
    <w:rsid w:val="00580EAC"/>
    <w:rsid w:val="005F2391"/>
    <w:rsid w:val="00600C17"/>
    <w:rsid w:val="00606001"/>
    <w:rsid w:val="00610CB2"/>
    <w:rsid w:val="00624E98"/>
    <w:rsid w:val="006252B4"/>
    <w:rsid w:val="00626892"/>
    <w:rsid w:val="006327D7"/>
    <w:rsid w:val="0065035A"/>
    <w:rsid w:val="00653ABF"/>
    <w:rsid w:val="00662D78"/>
    <w:rsid w:val="00667C6B"/>
    <w:rsid w:val="006934C9"/>
    <w:rsid w:val="00693D78"/>
    <w:rsid w:val="006A0609"/>
    <w:rsid w:val="006A2653"/>
    <w:rsid w:val="006A36B6"/>
    <w:rsid w:val="006E3200"/>
    <w:rsid w:val="006F0B70"/>
    <w:rsid w:val="0071004D"/>
    <w:rsid w:val="007110C0"/>
    <w:rsid w:val="00723AF9"/>
    <w:rsid w:val="00740E99"/>
    <w:rsid w:val="00741D93"/>
    <w:rsid w:val="007421A1"/>
    <w:rsid w:val="0074645F"/>
    <w:rsid w:val="00754CCE"/>
    <w:rsid w:val="00755D69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36B68"/>
    <w:rsid w:val="00845E87"/>
    <w:rsid w:val="00850DC1"/>
    <w:rsid w:val="00853B15"/>
    <w:rsid w:val="00876A8C"/>
    <w:rsid w:val="00880ACB"/>
    <w:rsid w:val="00882978"/>
    <w:rsid w:val="008A7B63"/>
    <w:rsid w:val="00913665"/>
    <w:rsid w:val="00917374"/>
    <w:rsid w:val="0092497E"/>
    <w:rsid w:val="00927CCD"/>
    <w:rsid w:val="00936A7C"/>
    <w:rsid w:val="0093767A"/>
    <w:rsid w:val="009402AF"/>
    <w:rsid w:val="00945B07"/>
    <w:rsid w:val="00950819"/>
    <w:rsid w:val="009517E5"/>
    <w:rsid w:val="00957106"/>
    <w:rsid w:val="00960765"/>
    <w:rsid w:val="0097553F"/>
    <w:rsid w:val="0097715D"/>
    <w:rsid w:val="00995262"/>
    <w:rsid w:val="00995FF6"/>
    <w:rsid w:val="009A2A2A"/>
    <w:rsid w:val="009C3C69"/>
    <w:rsid w:val="009E108A"/>
    <w:rsid w:val="009E2579"/>
    <w:rsid w:val="00A110F3"/>
    <w:rsid w:val="00A20901"/>
    <w:rsid w:val="00A21DA8"/>
    <w:rsid w:val="00A22B23"/>
    <w:rsid w:val="00A41172"/>
    <w:rsid w:val="00A428DA"/>
    <w:rsid w:val="00A50D31"/>
    <w:rsid w:val="00A51620"/>
    <w:rsid w:val="00A6246F"/>
    <w:rsid w:val="00A94A48"/>
    <w:rsid w:val="00AA2293"/>
    <w:rsid w:val="00AA27F4"/>
    <w:rsid w:val="00AE4C61"/>
    <w:rsid w:val="00AF08F8"/>
    <w:rsid w:val="00B17F42"/>
    <w:rsid w:val="00B22309"/>
    <w:rsid w:val="00B22F4C"/>
    <w:rsid w:val="00B26B37"/>
    <w:rsid w:val="00B26E65"/>
    <w:rsid w:val="00B32ADD"/>
    <w:rsid w:val="00B37368"/>
    <w:rsid w:val="00B45BD7"/>
    <w:rsid w:val="00B45DFB"/>
    <w:rsid w:val="00B47C0F"/>
    <w:rsid w:val="00B5025E"/>
    <w:rsid w:val="00B653A5"/>
    <w:rsid w:val="00BA08F0"/>
    <w:rsid w:val="00BA6AB1"/>
    <w:rsid w:val="00BB5944"/>
    <w:rsid w:val="00BC0640"/>
    <w:rsid w:val="00BF24B5"/>
    <w:rsid w:val="00BF26E6"/>
    <w:rsid w:val="00BF4A6C"/>
    <w:rsid w:val="00C05CA6"/>
    <w:rsid w:val="00C11998"/>
    <w:rsid w:val="00C13FCC"/>
    <w:rsid w:val="00C256A4"/>
    <w:rsid w:val="00C25C15"/>
    <w:rsid w:val="00C36774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86D29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CF670A"/>
    <w:rsid w:val="00D07A83"/>
    <w:rsid w:val="00D33A93"/>
    <w:rsid w:val="00D46211"/>
    <w:rsid w:val="00D54F5D"/>
    <w:rsid w:val="00D61790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D23C9"/>
    <w:rsid w:val="00EF019B"/>
    <w:rsid w:val="00EF4A97"/>
    <w:rsid w:val="00EF5653"/>
    <w:rsid w:val="00EF7056"/>
    <w:rsid w:val="00EF7DFB"/>
    <w:rsid w:val="00F01297"/>
    <w:rsid w:val="00F24590"/>
    <w:rsid w:val="00F275A6"/>
    <w:rsid w:val="00F33492"/>
    <w:rsid w:val="00F5303C"/>
    <w:rsid w:val="00F6713D"/>
    <w:rsid w:val="00F76D34"/>
    <w:rsid w:val="00F845E9"/>
    <w:rsid w:val="00F94C48"/>
    <w:rsid w:val="00FC102B"/>
    <w:rsid w:val="00FC21C6"/>
    <w:rsid w:val="00FE67E8"/>
    <w:rsid w:val="00FF0C4B"/>
    <w:rsid w:val="00FF62EB"/>
    <w:rsid w:val="00FF73F6"/>
    <w:rsid w:val="75B8A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263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76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.com/c/testing-and-education-reference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8</cp:revision>
  <cp:lastPrinted>2016-04-21T15:20:00Z</cp:lastPrinted>
  <dcterms:created xsi:type="dcterms:W3CDTF">2016-10-31T16:53:00Z</dcterms:created>
  <dcterms:modified xsi:type="dcterms:W3CDTF">2017-11-21T14:25:00Z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